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BB" w:rsidRPr="00DE3790" w:rsidRDefault="00F822BB">
      <w:pPr>
        <w:rPr>
          <w:rFonts w:ascii="Arial" w:hAnsi="Arial" w:cs="Arial"/>
          <w:b/>
          <w:sz w:val="22"/>
        </w:rPr>
      </w:pPr>
      <w:bookmarkStart w:id="0" w:name="_GoBack"/>
      <w:r w:rsidRPr="00DE3790">
        <w:rPr>
          <w:rFonts w:ascii="Arial" w:hAnsi="Arial" w:cs="Arial"/>
          <w:b/>
          <w:sz w:val="22"/>
        </w:rPr>
        <w:t>Note to WG1 from WG5 regarding e-NAV14 8.6.3</w:t>
      </w:r>
    </w:p>
    <w:bookmarkEnd w:id="0"/>
    <w:p w:rsidR="00F822BB" w:rsidRDefault="00F822BB">
      <w:pPr>
        <w:rPr>
          <w:rFonts w:ascii="Arial" w:hAnsi="Arial" w:cs="Arial"/>
          <w:sz w:val="22"/>
        </w:rPr>
      </w:pPr>
    </w:p>
    <w:p w:rsidR="00F822BB" w:rsidRDefault="00F822B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The document </w:t>
      </w:r>
      <w:r w:rsidRPr="000010DE">
        <w:rPr>
          <w:rFonts w:ascii="Arial" w:hAnsi="Arial" w:cs="Arial"/>
          <w:i/>
          <w:sz w:val="22"/>
        </w:rPr>
        <w:t xml:space="preserve">Draft IALA Guideline on </w:t>
      </w:r>
      <w:proofErr w:type="spellStart"/>
      <w:r w:rsidRPr="000010DE">
        <w:rPr>
          <w:rFonts w:ascii="Arial" w:hAnsi="Arial" w:cs="Arial"/>
          <w:i/>
          <w:sz w:val="22"/>
        </w:rPr>
        <w:t>Harmonised</w:t>
      </w:r>
      <w:proofErr w:type="spellEnd"/>
      <w:r w:rsidRPr="000010DE">
        <w:rPr>
          <w:rFonts w:ascii="Arial" w:hAnsi="Arial" w:cs="Arial"/>
          <w:i/>
          <w:sz w:val="22"/>
        </w:rPr>
        <w:t xml:space="preserve"> Portrayal of e</w:t>
      </w:r>
      <w:r>
        <w:rPr>
          <w:rFonts w:ascii="Arial" w:hAnsi="Arial" w:cs="Arial"/>
          <w:i/>
          <w:sz w:val="22"/>
        </w:rPr>
        <w:t>-</w:t>
      </w:r>
      <w:r w:rsidRPr="000010DE">
        <w:rPr>
          <w:rFonts w:ascii="Arial" w:hAnsi="Arial" w:cs="Arial"/>
          <w:i/>
          <w:sz w:val="22"/>
        </w:rPr>
        <w:t>Navigation</w:t>
      </w:r>
      <w:r>
        <w:rPr>
          <w:rFonts w:ascii="Arial" w:hAnsi="Arial" w:cs="Arial"/>
          <w:i/>
          <w:sz w:val="22"/>
        </w:rPr>
        <w:t xml:space="preserve">-related </w:t>
      </w:r>
      <w:r w:rsidRPr="000010DE">
        <w:rPr>
          <w:rFonts w:ascii="Arial" w:hAnsi="Arial" w:cs="Arial"/>
          <w:i/>
          <w:sz w:val="22"/>
        </w:rPr>
        <w:t>Info</w:t>
      </w:r>
      <w:r w:rsidRPr="000010DE">
        <w:rPr>
          <w:rFonts w:ascii="Arial" w:hAnsi="Arial" w:cs="Arial"/>
          <w:i/>
          <w:sz w:val="22"/>
        </w:rPr>
        <w:t>r</w:t>
      </w:r>
      <w:r w:rsidRPr="000010DE">
        <w:rPr>
          <w:rFonts w:ascii="Arial" w:hAnsi="Arial" w:cs="Arial"/>
          <w:i/>
          <w:sz w:val="22"/>
        </w:rPr>
        <w:t>mation</w:t>
      </w:r>
      <w:r>
        <w:rPr>
          <w:rFonts w:ascii="Arial" w:hAnsi="Arial" w:cs="Arial"/>
          <w:sz w:val="22"/>
        </w:rPr>
        <w:t xml:space="preserve">, e-NAV14.8.6.3, is an example of work done that can be considered to be part of the IALA Unified Operational Presentation Surface (UOPS), a layer of the IALA e-Navigation Stack, as discussed in the document </w:t>
      </w:r>
      <w:r w:rsidRPr="00BA7A13">
        <w:rPr>
          <w:rFonts w:ascii="Arial" w:hAnsi="Arial" w:cs="Arial"/>
          <w:i/>
          <w:sz w:val="22"/>
        </w:rPr>
        <w:t>Draft Revision of Recommendation e-NAV-140 on e-Navigation Architecture Shore Perspective (Ed 2)</w:t>
      </w:r>
      <w:r>
        <w:rPr>
          <w:rFonts w:ascii="Arial" w:hAnsi="Arial" w:cs="Arial"/>
          <w:sz w:val="22"/>
        </w:rPr>
        <w:t>, e-NAV14.12.2.3.</w:t>
      </w:r>
    </w:p>
    <w:p w:rsidR="00F822BB" w:rsidRDefault="00F822BB">
      <w:pPr>
        <w:rPr>
          <w:rFonts w:ascii="Arial" w:hAnsi="Arial" w:cs="Arial"/>
          <w:sz w:val="22"/>
        </w:rPr>
      </w:pPr>
    </w:p>
    <w:p w:rsidR="00F822BB" w:rsidRDefault="00F822B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WG5 is glad to see the WG1 and the VTS Committee taking up this material (reference e-NAV14.8.2).</w:t>
      </w:r>
    </w:p>
    <w:p w:rsidR="00F822BB" w:rsidRDefault="00F822BB">
      <w:pPr>
        <w:rPr>
          <w:rFonts w:ascii="Arial" w:hAnsi="Arial" w:cs="Arial"/>
          <w:sz w:val="22"/>
        </w:rPr>
      </w:pPr>
    </w:p>
    <w:p w:rsidR="00F822BB" w:rsidRPr="00F713C8" w:rsidRDefault="00F822B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The point of this paper is to raise awareness of the architectural work already done and to r</w:t>
      </w:r>
      <w:r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mind the reader that material such as the draft guideline already has ‘landing pads’ within the </w:t>
      </w:r>
      <w:proofErr w:type="gramStart"/>
      <w:r>
        <w:rPr>
          <w:rFonts w:ascii="Arial" w:hAnsi="Arial" w:cs="Arial"/>
          <w:sz w:val="22"/>
        </w:rPr>
        <w:t>IALA e-Navigation architecture.</w:t>
      </w:r>
      <w:proofErr w:type="gramEnd"/>
    </w:p>
    <w:p w:rsidR="00F822BB" w:rsidRDefault="00F822BB">
      <w:pPr>
        <w:rPr>
          <w:rFonts w:ascii="Arial" w:hAnsi="Arial" w:cs="Arial"/>
          <w:sz w:val="22"/>
        </w:rPr>
      </w:pPr>
    </w:p>
    <w:p w:rsidR="00F822BB" w:rsidRDefault="00F822BB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For reference, the following is material extracted from Draft e-NAV-140 (Ed 2) which discusses the IALA e-Navigation stack and the UOPS.</w:t>
      </w:r>
    </w:p>
    <w:p w:rsidR="00F822BB" w:rsidRPr="00F713C8" w:rsidRDefault="00F822BB">
      <w:pPr>
        <w:rPr>
          <w:rFonts w:ascii="Arial" w:hAnsi="Arial" w:cs="Arial"/>
          <w:sz w:val="22"/>
        </w:rPr>
      </w:pPr>
    </w:p>
    <w:p w:rsidR="00F822BB" w:rsidRPr="00F713C8" w:rsidRDefault="00F822BB">
      <w:pPr>
        <w:rPr>
          <w:rFonts w:ascii="Arial" w:hAnsi="Arial" w:cs="Arial"/>
          <w:sz w:val="22"/>
        </w:rPr>
      </w:pPr>
      <w:r w:rsidRPr="00F713C8">
        <w:rPr>
          <w:rFonts w:ascii="Arial" w:hAnsi="Arial" w:cs="Arial"/>
          <w:sz w:val="22"/>
        </w:rPr>
        <w:t>The IALA e-Navigation Stack is an internationally harmonized/unified layer modeling for the shore-side, specifically developed for e-Navigation. The idea of the stack is to represent the different working areas of IALA regarding e-Navigation in a layered model. It follows the philo</w:t>
      </w:r>
      <w:r w:rsidRPr="00F713C8">
        <w:rPr>
          <w:rFonts w:ascii="Arial" w:hAnsi="Arial" w:cs="Arial"/>
          <w:sz w:val="22"/>
        </w:rPr>
        <w:t>s</w:t>
      </w:r>
      <w:r w:rsidRPr="00F713C8">
        <w:rPr>
          <w:rFonts w:ascii="Arial" w:hAnsi="Arial" w:cs="Arial"/>
          <w:sz w:val="22"/>
        </w:rPr>
        <w:t>ophy of the Open System layered model, providing a seamless framework for IALA’s work for the shore side starting top from User Requirements down to the shore-based system archite</w:t>
      </w:r>
      <w:r w:rsidRPr="00F713C8">
        <w:rPr>
          <w:rFonts w:ascii="Arial" w:hAnsi="Arial" w:cs="Arial"/>
          <w:sz w:val="22"/>
        </w:rPr>
        <w:t>c</w:t>
      </w:r>
      <w:r w:rsidRPr="00F713C8">
        <w:rPr>
          <w:rFonts w:ascii="Arial" w:hAnsi="Arial" w:cs="Arial"/>
          <w:sz w:val="22"/>
        </w:rPr>
        <w:t>ture and the specific technical e-Navigation services. The IALA e-Navigation Stack is informed by maritime transport processes and user needs.</w:t>
      </w:r>
    </w:p>
    <w:p w:rsidR="00F822BB" w:rsidRPr="00F713C8" w:rsidRDefault="00F822BB">
      <w:pPr>
        <w:rPr>
          <w:rFonts w:ascii="Arial" w:hAnsi="Arial" w:cs="Arial"/>
          <w:sz w:val="22"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8"/>
        <w:gridCol w:w="4990"/>
        <w:gridCol w:w="3877"/>
      </w:tblGrid>
      <w:tr w:rsidR="00F822BB" w:rsidRPr="00DE7EFE" w:rsidTr="00C66963">
        <w:tc>
          <w:tcPr>
            <w:tcW w:w="1388" w:type="dxa"/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Acronym of layer</w:t>
            </w:r>
          </w:p>
        </w:tc>
        <w:tc>
          <w:tcPr>
            <w:tcW w:w="4990" w:type="dxa"/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Name of layer</w:t>
            </w:r>
          </w:p>
        </w:tc>
        <w:tc>
          <w:tcPr>
            <w:tcW w:w="3877" w:type="dxa"/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Name of sub-layer</w:t>
            </w:r>
          </w:p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F822BB" w:rsidRPr="00DE7EFE" w:rsidTr="00C66963">
        <w:tc>
          <w:tcPr>
            <w:tcW w:w="6378" w:type="dxa"/>
            <w:gridSpan w:val="2"/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Maritime Transportation Processes (incl. Logistics Chain)</w:t>
            </w:r>
          </w:p>
        </w:tc>
        <w:tc>
          <w:tcPr>
            <w:tcW w:w="3877" w:type="dxa"/>
          </w:tcPr>
          <w:p w:rsidR="00F822BB" w:rsidRPr="00C66963" w:rsidRDefault="00F822BB" w:rsidP="00C66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sz w:val="20"/>
                <w:szCs w:val="20"/>
                <w:lang w:val="en-GB"/>
              </w:rPr>
              <w:t>N/A</w:t>
            </w:r>
          </w:p>
        </w:tc>
      </w:tr>
      <w:tr w:rsidR="00F822BB" w:rsidRPr="00DE7EFE" w:rsidTr="00C66963">
        <w:tc>
          <w:tcPr>
            <w:tcW w:w="6378" w:type="dxa"/>
            <w:gridSpan w:val="2"/>
            <w:tcBorders>
              <w:bottom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IMO User Needs</w:t>
            </w:r>
          </w:p>
        </w:tc>
        <w:tc>
          <w:tcPr>
            <w:tcW w:w="3877" w:type="dxa"/>
            <w:tcBorders>
              <w:bottom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sz w:val="20"/>
                <w:szCs w:val="20"/>
                <w:lang w:val="en-GB"/>
              </w:rPr>
              <w:t>N/A</w:t>
            </w:r>
          </w:p>
        </w:tc>
      </w:tr>
      <w:tr w:rsidR="00F822BB" w:rsidRPr="00DE7EFE" w:rsidTr="00C66963">
        <w:tc>
          <w:tcPr>
            <w:tcW w:w="1388" w:type="dxa"/>
            <w:tcBorders>
              <w:top w:val="double" w:sz="4" w:space="0" w:color="auto"/>
              <w:lef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ISHR</w:t>
            </w:r>
          </w:p>
        </w:tc>
        <w:tc>
          <w:tcPr>
            <w:tcW w:w="8867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IALA Stakeholders Harmonized User Requirements</w:t>
            </w:r>
          </w:p>
        </w:tc>
      </w:tr>
      <w:tr w:rsidR="00F822BB" w:rsidRPr="00DE7EFE" w:rsidTr="00C66963">
        <w:tc>
          <w:tcPr>
            <w:tcW w:w="1388" w:type="dxa"/>
            <w:tcBorders>
              <w:lef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IALA UOPS</w:t>
            </w:r>
          </w:p>
        </w:tc>
        <w:tc>
          <w:tcPr>
            <w:tcW w:w="8867" w:type="dxa"/>
            <w:gridSpan w:val="2"/>
            <w:tcBorders>
              <w:righ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Unified Operational Presentation Surface</w:t>
            </w:r>
          </w:p>
        </w:tc>
      </w:tr>
      <w:tr w:rsidR="00F822BB" w:rsidRPr="00DE7EFE" w:rsidTr="00C66963">
        <w:tc>
          <w:tcPr>
            <w:tcW w:w="1388" w:type="dxa"/>
            <w:vMerge w:val="restart"/>
            <w:tcBorders>
              <w:lef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IHDM</w:t>
            </w:r>
          </w:p>
        </w:tc>
        <w:tc>
          <w:tcPr>
            <w:tcW w:w="4990" w:type="dxa"/>
            <w:vMerge w:val="restart"/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IALA’s contribution to the IMO governed Common Maritime Data Structure (CMDS)</w:t>
            </w:r>
          </w:p>
        </w:tc>
        <w:tc>
          <w:tcPr>
            <w:tcW w:w="3877" w:type="dxa"/>
            <w:tcBorders>
              <w:bottom w:val="dashSmallGap" w:sz="4" w:space="0" w:color="auto"/>
              <w:righ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sz w:val="20"/>
                <w:szCs w:val="20"/>
                <w:lang w:val="en-GB"/>
              </w:rPr>
              <w:t xml:space="preserve">Data properties definitions </w:t>
            </w:r>
          </w:p>
        </w:tc>
      </w:tr>
      <w:tr w:rsidR="00F822BB" w:rsidRPr="00DE7EFE" w:rsidTr="00C66963">
        <w:tc>
          <w:tcPr>
            <w:tcW w:w="1388" w:type="dxa"/>
            <w:vMerge/>
            <w:tcBorders>
              <w:lef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4990" w:type="dxa"/>
            <w:vMerge/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877" w:type="dxa"/>
            <w:tcBorders>
              <w:top w:val="dashSmallGap" w:sz="4" w:space="0" w:color="auto"/>
              <w:righ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sz w:val="20"/>
                <w:szCs w:val="20"/>
                <w:lang w:val="en-GB"/>
              </w:rPr>
              <w:t>Data objects definitions</w:t>
            </w:r>
          </w:p>
        </w:tc>
      </w:tr>
      <w:tr w:rsidR="00F822BB" w:rsidRPr="00DE7EFE" w:rsidTr="00C66963">
        <w:trPr>
          <w:trHeight w:val="233"/>
        </w:trPr>
        <w:tc>
          <w:tcPr>
            <w:tcW w:w="1388" w:type="dxa"/>
            <w:vMerge w:val="restart"/>
            <w:tcBorders>
              <w:lef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IALA MDEF</w:t>
            </w:r>
          </w:p>
        </w:tc>
        <w:tc>
          <w:tcPr>
            <w:tcW w:w="4990" w:type="dxa"/>
            <w:vMerge w:val="restart"/>
          </w:tcPr>
          <w:p w:rsidR="00F822BB" w:rsidRPr="00C66963" w:rsidRDefault="00F822BB" w:rsidP="00C66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IALA Maritime Data Exchange Format</w:t>
            </w:r>
          </w:p>
        </w:tc>
        <w:tc>
          <w:tcPr>
            <w:tcW w:w="3877" w:type="dxa"/>
            <w:tcBorders>
              <w:bottom w:val="dashSmallGap" w:sz="4" w:space="0" w:color="auto"/>
              <w:righ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sz w:val="20"/>
                <w:szCs w:val="20"/>
                <w:lang w:val="en-GB"/>
              </w:rPr>
              <w:t>Encoding-free sentence definitions</w:t>
            </w:r>
          </w:p>
        </w:tc>
      </w:tr>
      <w:tr w:rsidR="00F822BB" w:rsidRPr="00DE7EFE" w:rsidTr="00C66963">
        <w:trPr>
          <w:trHeight w:val="232"/>
        </w:trPr>
        <w:tc>
          <w:tcPr>
            <w:tcW w:w="1388" w:type="dxa"/>
            <w:vMerge/>
            <w:tcBorders>
              <w:lef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4990" w:type="dxa"/>
            <w:vMerge/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877" w:type="dxa"/>
            <w:tcBorders>
              <w:top w:val="dashSmallGap" w:sz="4" w:space="0" w:color="auto"/>
              <w:righ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sz w:val="20"/>
                <w:szCs w:val="20"/>
                <w:lang w:val="en-GB"/>
              </w:rPr>
              <w:t>Technology specific encoded sentences</w:t>
            </w:r>
          </w:p>
        </w:tc>
      </w:tr>
      <w:tr w:rsidR="00F822BB" w:rsidRPr="00DE7EFE" w:rsidTr="00C66963">
        <w:trPr>
          <w:trHeight w:val="788"/>
        </w:trPr>
        <w:tc>
          <w:tcPr>
            <w:tcW w:w="1388" w:type="dxa"/>
            <w:vMerge w:val="restart"/>
            <w:tcBorders>
              <w:lef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IALA CSSA</w:t>
            </w:r>
          </w:p>
        </w:tc>
        <w:tc>
          <w:tcPr>
            <w:tcW w:w="4990" w:type="dxa"/>
            <w:vMerge w:val="restart"/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IALA Common Shore-Based System Architecture</w:t>
            </w:r>
          </w:p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>Technology-specific level</w:t>
            </w:r>
          </w:p>
        </w:tc>
        <w:tc>
          <w:tcPr>
            <w:tcW w:w="3877" w:type="dxa"/>
            <w:tcBorders>
              <w:bottom w:val="dashSmallGap" w:sz="4" w:space="0" w:color="auto"/>
              <w:righ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sz w:val="20"/>
                <w:szCs w:val="20"/>
                <w:lang w:val="en-GB"/>
              </w:rPr>
              <w:t>Generic part of CSSA</w:t>
            </w:r>
          </w:p>
        </w:tc>
      </w:tr>
      <w:tr w:rsidR="00F822BB" w:rsidRPr="00DE7EFE" w:rsidTr="00C66963">
        <w:tc>
          <w:tcPr>
            <w:tcW w:w="1388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4990" w:type="dxa"/>
            <w:vMerge/>
            <w:tcBorders>
              <w:bottom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3877" w:type="dxa"/>
            <w:tcBorders>
              <w:top w:val="dashSmallGap" w:sz="4" w:space="0" w:color="auto"/>
              <w:bottom w:val="double" w:sz="4" w:space="0" w:color="auto"/>
              <w:right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sz w:val="20"/>
                <w:szCs w:val="20"/>
                <w:lang w:val="en-GB"/>
              </w:rPr>
              <w:t>Technology-specific part of CSSA</w:t>
            </w:r>
          </w:p>
        </w:tc>
      </w:tr>
      <w:tr w:rsidR="00F822BB" w:rsidRPr="00DE7EFE" w:rsidTr="00C66963">
        <w:tc>
          <w:tcPr>
            <w:tcW w:w="10255" w:type="dxa"/>
            <w:gridSpan w:val="3"/>
            <w:tcBorders>
              <w:top w:val="double" w:sz="4" w:space="0" w:color="auto"/>
            </w:tcBorders>
          </w:tcPr>
          <w:p w:rsidR="00F822BB" w:rsidRPr="00C66963" w:rsidRDefault="00F822BB" w:rsidP="00C66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National / regional adaptation </w:t>
            </w:r>
            <w:r w:rsidRPr="00C66963">
              <w:rPr>
                <w:rFonts w:ascii="Arial" w:hAnsi="Arial" w:cs="Arial"/>
                <w:sz w:val="20"/>
                <w:szCs w:val="20"/>
                <w:lang w:val="en-GB"/>
              </w:rPr>
              <w:t>in their appropriate procurement documentation</w:t>
            </w:r>
          </w:p>
        </w:tc>
      </w:tr>
      <w:tr w:rsidR="00F822BB" w:rsidRPr="00DE7EFE" w:rsidTr="00C66963">
        <w:tc>
          <w:tcPr>
            <w:tcW w:w="10255" w:type="dxa"/>
            <w:gridSpan w:val="3"/>
          </w:tcPr>
          <w:p w:rsidR="00F822BB" w:rsidRPr="00C66963" w:rsidRDefault="00F822BB" w:rsidP="00C66963">
            <w:pPr>
              <w:tabs>
                <w:tab w:val="left" w:pos="726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6696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Contractor / industry implementation </w:t>
            </w:r>
          </w:p>
        </w:tc>
      </w:tr>
    </w:tbl>
    <w:p w:rsidR="00F822BB" w:rsidRDefault="00F822BB"/>
    <w:p w:rsidR="00F822BB" w:rsidRPr="00E03D54" w:rsidRDefault="00F822BB" w:rsidP="00C66963">
      <w:pPr>
        <w:pStyle w:val="Table"/>
      </w:pPr>
      <w:bookmarkStart w:id="1" w:name="_Ref278458490"/>
      <w:bookmarkStart w:id="2" w:name="_Toc283232471"/>
      <w:bookmarkStart w:id="3" w:name="_Ref278457056"/>
      <w:r>
        <w:t>Simplified representation of the “IALA e-Navigation stack” (highlighted by double lines) within its context</w:t>
      </w:r>
      <w:bookmarkEnd w:id="1"/>
      <w:bookmarkEnd w:id="2"/>
      <w:r w:rsidRPr="003F173E">
        <w:t xml:space="preserve"> </w:t>
      </w:r>
      <w:bookmarkEnd w:id="3"/>
    </w:p>
    <w:p w:rsidR="00F822BB" w:rsidRDefault="00F822BB"/>
    <w:p w:rsidR="00F822BB" w:rsidRPr="00F713C8" w:rsidRDefault="00F822BB" w:rsidP="00F713C8">
      <w:pPr>
        <w:pStyle w:val="Bullet1"/>
        <w:numPr>
          <w:ilvl w:val="0"/>
          <w:numId w:val="0"/>
        </w:numPr>
        <w:rPr>
          <w:rFonts w:cs="Arial"/>
          <w:szCs w:val="22"/>
        </w:rPr>
      </w:pPr>
      <w:r>
        <w:rPr>
          <w:rFonts w:cs="Arial"/>
          <w:b/>
          <w:szCs w:val="22"/>
        </w:rPr>
        <w:br w:type="page"/>
      </w:r>
      <w:r w:rsidRPr="00F713C8">
        <w:rPr>
          <w:rFonts w:cs="Arial"/>
          <w:b/>
          <w:szCs w:val="22"/>
        </w:rPr>
        <w:lastRenderedPageBreak/>
        <w:t>IALA UOPS: IALA Unified Operational Presentation Surface</w:t>
      </w:r>
      <w:r w:rsidRPr="00F713C8">
        <w:rPr>
          <w:rFonts w:cs="Arial"/>
          <w:szCs w:val="22"/>
        </w:rPr>
        <w:t xml:space="preserve">; the idea is, that there is a </w:t>
      </w:r>
      <w:r w:rsidRPr="00F713C8">
        <w:rPr>
          <w:rFonts w:cs="Arial"/>
          <w:i/>
          <w:szCs w:val="22"/>
        </w:rPr>
        <w:t>fun</w:t>
      </w:r>
      <w:r w:rsidRPr="00F713C8">
        <w:rPr>
          <w:rFonts w:cs="Arial"/>
          <w:i/>
          <w:szCs w:val="22"/>
        </w:rPr>
        <w:t>c</w:t>
      </w:r>
      <w:r w:rsidRPr="00F713C8">
        <w:rPr>
          <w:rFonts w:cs="Arial"/>
          <w:i/>
          <w:szCs w:val="22"/>
        </w:rPr>
        <w:t>tional and globally unified</w:t>
      </w:r>
      <w:r w:rsidRPr="00F713C8">
        <w:rPr>
          <w:rFonts w:cs="Arial"/>
          <w:szCs w:val="22"/>
        </w:rPr>
        <w:t xml:space="preserve"> description for the functionality of the Human Machine Interfaces pr</w:t>
      </w:r>
      <w:r w:rsidRPr="00F713C8">
        <w:rPr>
          <w:rFonts w:cs="Arial"/>
          <w:szCs w:val="22"/>
        </w:rPr>
        <w:t>o</w:t>
      </w:r>
      <w:r w:rsidRPr="00F713C8">
        <w:rPr>
          <w:rFonts w:cs="Arial"/>
          <w:szCs w:val="22"/>
        </w:rPr>
        <w:t xml:space="preserve">vided to operators at </w:t>
      </w:r>
      <w:r w:rsidRPr="00F713C8">
        <w:rPr>
          <w:rFonts w:cs="Arial"/>
          <w:i/>
          <w:szCs w:val="22"/>
        </w:rPr>
        <w:t>shore-based work places</w:t>
      </w:r>
      <w:r w:rsidRPr="00F713C8">
        <w:rPr>
          <w:rFonts w:cs="Arial"/>
          <w:szCs w:val="22"/>
        </w:rPr>
        <w:t xml:space="preserve">, e. g. at VTS Centres. This layer would consist of a harmonized and – as far as possible – unified collection of </w:t>
      </w:r>
      <w:r w:rsidRPr="00F713C8">
        <w:rPr>
          <w:rFonts w:cs="Arial"/>
          <w:i/>
          <w:szCs w:val="22"/>
        </w:rPr>
        <w:t>presentation, portrayal, and fun</w:t>
      </w:r>
      <w:r w:rsidRPr="00F713C8">
        <w:rPr>
          <w:rFonts w:cs="Arial"/>
          <w:i/>
          <w:szCs w:val="22"/>
        </w:rPr>
        <w:t>c</w:t>
      </w:r>
      <w:r w:rsidRPr="00F713C8">
        <w:rPr>
          <w:rFonts w:cs="Arial"/>
          <w:i/>
          <w:szCs w:val="22"/>
        </w:rPr>
        <w:t>tionality requirement statements for the Operational Presentation Surface</w:t>
      </w:r>
      <w:r w:rsidRPr="00F713C8">
        <w:rPr>
          <w:rFonts w:cs="Arial"/>
          <w:szCs w:val="22"/>
        </w:rPr>
        <w:t xml:space="preserve">, i.e. for all aspects of HMIs at shore-based work places. It could be used both by administrations and manufactures of such equipment as a common requirement statement. Also, next versions of the VTS model training course could be referencing / being built upon that unified description. </w:t>
      </w:r>
    </w:p>
    <w:p w:rsidR="00F822BB" w:rsidRPr="00F713C8" w:rsidRDefault="00F822BB" w:rsidP="00F713C8">
      <w:pPr>
        <w:pStyle w:val="Bullet1"/>
        <w:numPr>
          <w:ilvl w:val="0"/>
          <w:numId w:val="0"/>
        </w:numPr>
        <w:rPr>
          <w:rFonts w:cs="Arial"/>
          <w:szCs w:val="22"/>
        </w:rPr>
      </w:pPr>
      <w:r w:rsidRPr="00F713C8">
        <w:rPr>
          <w:rFonts w:cs="Arial"/>
          <w:szCs w:val="22"/>
        </w:rPr>
        <w:t>It is understood, that the degree of unification which can be achieved within the UOPS may vary with different functionality under consideration; there may be areas of functionality were there can be achieved a large degree of unification, while there are areas of functionality, where there can only be achieved harmonization. Various configuration options should also be considered a viable avenue to achieve harmonization or even unification because regionally different settings could be mapped into configuration options. The individual presentation, portrayal, and fun</w:t>
      </w:r>
      <w:r w:rsidRPr="00F713C8">
        <w:rPr>
          <w:rFonts w:cs="Arial"/>
          <w:szCs w:val="22"/>
        </w:rPr>
        <w:t>c</w:t>
      </w:r>
      <w:r w:rsidRPr="00F713C8">
        <w:rPr>
          <w:rFonts w:cs="Arial"/>
          <w:szCs w:val="22"/>
        </w:rPr>
        <w:t>tionality requirement statements would be captured in appropriate templates</w:t>
      </w:r>
    </w:p>
    <w:p w:rsidR="00F822BB" w:rsidRDefault="00F822BB"/>
    <w:sectPr w:rsidR="00F822BB" w:rsidSect="00E503A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CF4" w:rsidRDefault="00800CF4" w:rsidP="009C1CD4">
      <w:r>
        <w:separator/>
      </w:r>
    </w:p>
  </w:endnote>
  <w:endnote w:type="continuationSeparator" w:id="0">
    <w:p w:rsidR="00800CF4" w:rsidRDefault="00800CF4" w:rsidP="009C1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CF4" w:rsidRDefault="00800CF4" w:rsidP="009C1CD4">
      <w:r>
        <w:separator/>
      </w:r>
    </w:p>
  </w:footnote>
  <w:footnote w:type="continuationSeparator" w:id="0">
    <w:p w:rsidR="00800CF4" w:rsidRDefault="00800CF4" w:rsidP="009C1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D4" w:rsidRDefault="009C1CD4" w:rsidP="009C1CD4">
    <w:pPr>
      <w:pStyle w:val="Header"/>
      <w:jc w:val="right"/>
    </w:pPr>
    <w:proofErr w:type="gramStart"/>
    <w:r>
      <w:t>e-NAV14-8.6.4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63137"/>
    <w:multiLevelType w:val="hybridMultilevel"/>
    <w:tmpl w:val="FB6291FE"/>
    <w:lvl w:ilvl="0" w:tplc="04070005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27800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oNotTrackMove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632"/>
    <w:rsid w:val="000010DE"/>
    <w:rsid w:val="000044D4"/>
    <w:rsid w:val="0002302A"/>
    <w:rsid w:val="001B1E19"/>
    <w:rsid w:val="003F173E"/>
    <w:rsid w:val="004D3ED9"/>
    <w:rsid w:val="00516632"/>
    <w:rsid w:val="00563C3F"/>
    <w:rsid w:val="005C4546"/>
    <w:rsid w:val="00800CF4"/>
    <w:rsid w:val="009C1CD4"/>
    <w:rsid w:val="00A00F67"/>
    <w:rsid w:val="00A83000"/>
    <w:rsid w:val="00BA7A13"/>
    <w:rsid w:val="00C66963"/>
    <w:rsid w:val="00CB0E8D"/>
    <w:rsid w:val="00D341AD"/>
    <w:rsid w:val="00DE3790"/>
    <w:rsid w:val="00DE7EFE"/>
    <w:rsid w:val="00E03D54"/>
    <w:rsid w:val="00E503A8"/>
    <w:rsid w:val="00E504B3"/>
    <w:rsid w:val="00F713C8"/>
    <w:rsid w:val="00F8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02A"/>
    <w:rPr>
      <w:rFonts w:ascii="Times New Roman" w:hAnsi="Times New Roman"/>
      <w:sz w:val="24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_#"/>
    <w:basedOn w:val="Normal"/>
    <w:next w:val="Normal"/>
    <w:uiPriority w:val="99"/>
    <w:rsid w:val="00C66963"/>
    <w:pPr>
      <w:numPr>
        <w:numId w:val="1"/>
      </w:numPr>
      <w:spacing w:before="120" w:after="120"/>
      <w:jc w:val="center"/>
    </w:pPr>
    <w:rPr>
      <w:rFonts w:ascii="Arial" w:eastAsia="Times New Roman" w:hAnsi="Arial"/>
      <w:i/>
      <w:sz w:val="22"/>
      <w:szCs w:val="20"/>
      <w:lang w:val="en-GB" w:eastAsia="en-GB"/>
    </w:rPr>
  </w:style>
  <w:style w:type="paragraph" w:customStyle="1" w:styleId="Bullet1">
    <w:name w:val="Bullet 1"/>
    <w:basedOn w:val="Normal"/>
    <w:uiPriority w:val="99"/>
    <w:rsid w:val="00F713C8"/>
    <w:pPr>
      <w:numPr>
        <w:numId w:val="2"/>
      </w:numPr>
      <w:spacing w:before="60" w:after="60"/>
      <w:jc w:val="both"/>
      <w:outlineLvl w:val="0"/>
    </w:pPr>
    <w:rPr>
      <w:rFonts w:ascii="Arial" w:hAnsi="Arial"/>
      <w:sz w:val="22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9C1CD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C1CD4"/>
    <w:rPr>
      <w:rFonts w:ascii="Times New Roman" w:hAnsi="Times New Roman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C1CD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C1CD4"/>
    <w:rPr>
      <w:rFonts w:ascii="Times New Roman" w:hAnsi="Times New Roman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Item 4</vt:lpstr>
    </vt:vector>
  </TitlesOfParts>
  <Company>Tideland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Item 4</dc:title>
  <dc:subject/>
  <dc:creator>Paul F. Mueller</dc:creator>
  <cp:keywords/>
  <dc:description/>
  <cp:lastModifiedBy>Seamus Doyle</cp:lastModifiedBy>
  <cp:revision>2</cp:revision>
  <dcterms:created xsi:type="dcterms:W3CDTF">2013-09-17T08:33:00Z</dcterms:created>
  <dcterms:modified xsi:type="dcterms:W3CDTF">2013-09-17T08:33:00Z</dcterms:modified>
</cp:coreProperties>
</file>